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8" w:rsidRPr="000B43B4" w:rsidRDefault="008B23A0">
      <w:pPr>
        <w:rPr>
          <w:rFonts w:ascii="Times New Roman" w:eastAsia="宋体" w:hAnsi="Times New Roman" w:cs="Times New Roman"/>
          <w:kern w:val="0"/>
          <w:sz w:val="24"/>
          <w:szCs w:val="24"/>
        </w:rPr>
      </w:pPr>
      <w:r w:rsidRPr="000B43B4">
        <w:rPr>
          <w:rFonts w:ascii="Times New Roman" w:eastAsia="宋体" w:hAnsi="Times New Roman" w:cs="Times New Roman"/>
          <w:kern w:val="0"/>
          <w:sz w:val="24"/>
          <w:szCs w:val="24"/>
        </w:rPr>
        <w:t>证券代码：</w:t>
      </w:r>
      <w:r w:rsidRPr="000B43B4">
        <w:rPr>
          <w:rFonts w:ascii="Times New Roman" w:eastAsia="TimesNewRomanPSMT" w:hAnsi="Times New Roman" w:cs="Times New Roman"/>
          <w:kern w:val="0"/>
          <w:sz w:val="24"/>
          <w:szCs w:val="24"/>
        </w:rPr>
        <w:t xml:space="preserve">688259                                  </w:t>
      </w:r>
      <w:r w:rsidRPr="000B43B4">
        <w:rPr>
          <w:rFonts w:ascii="Times New Roman" w:eastAsia="宋体" w:hAnsi="Times New Roman" w:cs="Times New Roman"/>
          <w:kern w:val="0"/>
          <w:sz w:val="24"/>
          <w:szCs w:val="24"/>
        </w:rPr>
        <w:t>证券简称：创耀科技</w:t>
      </w:r>
    </w:p>
    <w:p w:rsidR="003E565A" w:rsidRPr="00882360"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创耀（苏州）通信科技股份有限公司</w:t>
      </w:r>
    </w:p>
    <w:p w:rsidR="003E565A" w:rsidRPr="00882360"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投资者关系活动记录表</w:t>
      </w:r>
    </w:p>
    <w:tbl>
      <w:tblPr>
        <w:tblStyle w:val="a3"/>
        <w:tblW w:w="0" w:type="auto"/>
        <w:tblLook w:val="04A0" w:firstRow="1" w:lastRow="0" w:firstColumn="1" w:lastColumn="0" w:noHBand="0" w:noVBand="1"/>
      </w:tblPr>
      <w:tblGrid>
        <w:gridCol w:w="1696"/>
        <w:gridCol w:w="6600"/>
      </w:tblGrid>
      <w:tr w:rsidR="003E565A" w:rsidRPr="009C4EAB" w:rsidTr="00017CAB">
        <w:tc>
          <w:tcPr>
            <w:tcW w:w="1696" w:type="dxa"/>
            <w:vAlign w:val="center"/>
          </w:tcPr>
          <w:p w:rsidR="003E565A" w:rsidRPr="009C4EAB" w:rsidRDefault="000C5592" w:rsidP="00017CAB">
            <w:pPr>
              <w:jc w:val="center"/>
              <w:rPr>
                <w:sz w:val="24"/>
                <w:szCs w:val="24"/>
              </w:rPr>
            </w:pPr>
            <w:r w:rsidRPr="000C5592">
              <w:rPr>
                <w:rFonts w:hint="eastAsia"/>
                <w:sz w:val="24"/>
                <w:szCs w:val="24"/>
              </w:rPr>
              <w:t>投资者关系活动类别</w:t>
            </w:r>
          </w:p>
        </w:tc>
        <w:tc>
          <w:tcPr>
            <w:tcW w:w="6600"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9C4EAB">
              <w:trPr>
                <w:trHeight w:val="308"/>
              </w:trPr>
              <w:tc>
                <w:tcPr>
                  <w:tcW w:w="0" w:type="auto"/>
                </w:tcPr>
                <w:p w:rsidR="00EE510A" w:rsidRPr="009C4EAB" w:rsidRDefault="00017818"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特定对象调研</w:t>
                  </w:r>
                  <w:r w:rsidR="003E565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3E565A"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分析师会议</w:t>
                  </w:r>
                  <w:r w:rsidR="003E565A"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媒体采访</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017818">
                    <w:rPr>
                      <w:rFonts w:ascii="Times New Roman" w:hAnsi="Times New Roman" w:cs="Times New Roman"/>
                      <w:color w:val="000000"/>
                      <w:kern w:val="0"/>
                      <w:sz w:val="24"/>
                      <w:szCs w:val="24"/>
                    </w:rPr>
                    <w:t>√</w:t>
                  </w:r>
                  <w:r w:rsidRPr="009C4EAB">
                    <w:rPr>
                      <w:rFonts w:ascii="宋体" w:eastAsia="宋体" w:hAnsi="Times New Roman" w:cs="宋体" w:hint="eastAsia"/>
                      <w:color w:val="000000"/>
                      <w:kern w:val="0"/>
                      <w:sz w:val="24"/>
                      <w:szCs w:val="24"/>
                    </w:rPr>
                    <w:t>业绩说明会</w:t>
                  </w:r>
                  <w:r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新闻发布会</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路演活动</w:t>
                  </w:r>
                  <w:r w:rsidRPr="009C4EAB">
                    <w:rPr>
                      <w:rFonts w:ascii="宋体" w:eastAsia="宋体" w:hAnsi="Times New Roman" w:cs="宋体"/>
                      <w:color w:val="000000"/>
                      <w:kern w:val="0"/>
                      <w:sz w:val="24"/>
                      <w:szCs w:val="24"/>
                    </w:rPr>
                    <w:t xml:space="preserve"> </w:t>
                  </w:r>
                </w:p>
                <w:p w:rsidR="003E565A" w:rsidRPr="009C4EAB" w:rsidRDefault="003E565A" w:rsidP="00AF6441">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现场参观</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AF6441">
                    <w:rPr>
                      <w:rFonts w:ascii="宋体" w:eastAsia="宋体" w:hAnsi="Times New Roman" w:cs="宋体"/>
                      <w:color w:val="000000"/>
                      <w:kern w:val="0"/>
                      <w:sz w:val="24"/>
                      <w:szCs w:val="24"/>
                    </w:rPr>
                    <w:t xml:space="preserve"> </w:t>
                  </w:r>
                  <w:r w:rsidR="00AF6441"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其他（）</w:t>
                  </w:r>
                  <w:r w:rsidRPr="009C4EAB">
                    <w:rPr>
                      <w:rFonts w:ascii="宋体" w:eastAsia="宋体" w:hAnsi="Times New Roman" w:cs="宋体"/>
                      <w:color w:val="000000"/>
                      <w:kern w:val="0"/>
                      <w:sz w:val="24"/>
                      <w:szCs w:val="24"/>
                    </w:rPr>
                    <w:t xml:space="preserve"> </w:t>
                  </w:r>
                </w:p>
              </w:tc>
            </w:tr>
          </w:tbl>
          <w:p w:rsidR="003E565A" w:rsidRPr="009C4EAB" w:rsidRDefault="003E565A" w:rsidP="003E565A">
            <w:pPr>
              <w:jc w:val="center"/>
              <w:rPr>
                <w:sz w:val="24"/>
                <w:szCs w:val="24"/>
              </w:rPr>
            </w:pPr>
          </w:p>
        </w:tc>
      </w:tr>
      <w:tr w:rsidR="003E565A" w:rsidRPr="009C4EAB" w:rsidTr="00017CAB">
        <w:tc>
          <w:tcPr>
            <w:tcW w:w="1696" w:type="dxa"/>
            <w:vAlign w:val="center"/>
          </w:tcPr>
          <w:p w:rsidR="003E565A" w:rsidRPr="009C4EAB" w:rsidRDefault="000C5592" w:rsidP="00017CAB">
            <w:pPr>
              <w:jc w:val="center"/>
              <w:rPr>
                <w:sz w:val="24"/>
                <w:szCs w:val="24"/>
              </w:rPr>
            </w:pPr>
            <w:r>
              <w:rPr>
                <w:sz w:val="24"/>
                <w:szCs w:val="24"/>
              </w:rPr>
              <w:t>参与单位名称</w:t>
            </w:r>
          </w:p>
        </w:tc>
        <w:tc>
          <w:tcPr>
            <w:tcW w:w="6600" w:type="dxa"/>
          </w:tcPr>
          <w:p w:rsidR="00E41FED" w:rsidRPr="00DC5B00" w:rsidRDefault="00017818" w:rsidP="00017818">
            <w:pPr>
              <w:spacing w:line="360" w:lineRule="auto"/>
              <w:rPr>
                <w:sz w:val="24"/>
                <w:szCs w:val="24"/>
              </w:rPr>
            </w:pPr>
            <w:r w:rsidRPr="00017818">
              <w:rPr>
                <w:rFonts w:hint="eastAsia"/>
                <w:sz w:val="24"/>
                <w:szCs w:val="24"/>
              </w:rPr>
              <w:t>通过线上方式参与公司</w:t>
            </w:r>
            <w:bookmarkStart w:id="0" w:name="_GoBack"/>
            <w:r w:rsidRPr="00017818">
              <w:rPr>
                <w:rFonts w:hint="eastAsia"/>
                <w:sz w:val="24"/>
                <w:szCs w:val="24"/>
              </w:rPr>
              <w:t>2023</w:t>
            </w:r>
            <w:r w:rsidRPr="00017818">
              <w:rPr>
                <w:rFonts w:hint="eastAsia"/>
                <w:sz w:val="24"/>
                <w:szCs w:val="24"/>
              </w:rPr>
              <w:t>年度暨</w:t>
            </w:r>
            <w:r w:rsidRPr="00017818">
              <w:rPr>
                <w:rFonts w:hint="eastAsia"/>
                <w:sz w:val="24"/>
                <w:szCs w:val="24"/>
              </w:rPr>
              <w:t>2024</w:t>
            </w:r>
            <w:r w:rsidRPr="00017818">
              <w:rPr>
                <w:rFonts w:hint="eastAsia"/>
                <w:sz w:val="24"/>
                <w:szCs w:val="24"/>
              </w:rPr>
              <w:t>年第一季度业绩说明会</w:t>
            </w:r>
            <w:bookmarkEnd w:id="0"/>
            <w:r w:rsidRPr="00017818">
              <w:rPr>
                <w:rFonts w:hint="eastAsia"/>
                <w:sz w:val="24"/>
                <w:szCs w:val="24"/>
              </w:rPr>
              <w:t>的投资者</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时间</w:t>
            </w:r>
          </w:p>
        </w:tc>
        <w:tc>
          <w:tcPr>
            <w:tcW w:w="6600" w:type="dxa"/>
          </w:tcPr>
          <w:p w:rsidR="003E565A" w:rsidRPr="009C4EAB" w:rsidRDefault="00A12BD7" w:rsidP="00017818">
            <w:pPr>
              <w:spacing w:line="360" w:lineRule="auto"/>
              <w:jc w:val="left"/>
              <w:rPr>
                <w:sz w:val="24"/>
                <w:szCs w:val="24"/>
              </w:rPr>
            </w:pPr>
            <w:r w:rsidRPr="00D93517">
              <w:rPr>
                <w:rFonts w:hint="eastAsia"/>
                <w:sz w:val="24"/>
                <w:szCs w:val="24"/>
              </w:rPr>
              <w:t>202</w:t>
            </w:r>
            <w:r w:rsidR="00726405">
              <w:rPr>
                <w:sz w:val="24"/>
                <w:szCs w:val="24"/>
              </w:rPr>
              <w:t>4</w:t>
            </w:r>
            <w:r w:rsidRPr="00D93517">
              <w:rPr>
                <w:rFonts w:hint="eastAsia"/>
                <w:sz w:val="24"/>
                <w:szCs w:val="24"/>
              </w:rPr>
              <w:t>年</w:t>
            </w:r>
            <w:r w:rsidR="00017818">
              <w:rPr>
                <w:rFonts w:hint="eastAsia"/>
                <w:sz w:val="24"/>
                <w:szCs w:val="24"/>
              </w:rPr>
              <w:t>5</w:t>
            </w:r>
            <w:r w:rsidRPr="00D93517">
              <w:rPr>
                <w:rFonts w:hint="eastAsia"/>
                <w:sz w:val="24"/>
                <w:szCs w:val="24"/>
              </w:rPr>
              <w:t>月</w:t>
            </w:r>
            <w:r w:rsidR="00E535AB">
              <w:rPr>
                <w:rFonts w:hint="eastAsia"/>
                <w:sz w:val="24"/>
                <w:szCs w:val="24"/>
              </w:rPr>
              <w:t>1</w:t>
            </w:r>
            <w:r w:rsidR="00E535AB">
              <w:rPr>
                <w:sz w:val="24"/>
                <w:szCs w:val="24"/>
              </w:rPr>
              <w:t>6</w:t>
            </w:r>
            <w:r w:rsidR="00BA2558">
              <w:rPr>
                <w:rFonts w:hint="eastAsia"/>
                <w:sz w:val="24"/>
                <w:szCs w:val="24"/>
              </w:rPr>
              <w:t>日</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地点</w:t>
            </w:r>
          </w:p>
        </w:tc>
        <w:tc>
          <w:tcPr>
            <w:tcW w:w="6600" w:type="dxa"/>
          </w:tcPr>
          <w:p w:rsidR="00052A05" w:rsidRPr="009C4EAB" w:rsidRDefault="00017818" w:rsidP="00CD32A1">
            <w:pPr>
              <w:spacing w:line="360" w:lineRule="auto"/>
              <w:jc w:val="left"/>
              <w:rPr>
                <w:sz w:val="24"/>
                <w:szCs w:val="24"/>
              </w:rPr>
            </w:pPr>
            <w:r w:rsidRPr="00017818">
              <w:rPr>
                <w:rFonts w:hint="eastAsia"/>
                <w:sz w:val="24"/>
                <w:szCs w:val="24"/>
              </w:rPr>
              <w:t>公司通过上海证券交易所上证路演中心（网址：</w:t>
            </w:r>
            <w:r w:rsidRPr="00017818">
              <w:rPr>
                <w:rFonts w:hint="eastAsia"/>
                <w:sz w:val="24"/>
                <w:szCs w:val="24"/>
              </w:rPr>
              <w:t>http://roadshow.sseinfo.com/</w:t>
            </w:r>
            <w:r w:rsidRPr="00017818">
              <w:rPr>
                <w:rFonts w:hint="eastAsia"/>
                <w:sz w:val="24"/>
                <w:szCs w:val="24"/>
              </w:rPr>
              <w:t>）采用网络互动的方式召开业绩说明会</w:t>
            </w:r>
          </w:p>
        </w:tc>
      </w:tr>
      <w:tr w:rsidR="004C4EF0" w:rsidRPr="009C4EAB" w:rsidTr="00017CAB">
        <w:tc>
          <w:tcPr>
            <w:tcW w:w="1696" w:type="dxa"/>
            <w:vAlign w:val="center"/>
          </w:tcPr>
          <w:p w:rsidR="004C4EF0" w:rsidRPr="009C4EAB" w:rsidRDefault="004C4EF0" w:rsidP="00017CAB">
            <w:pPr>
              <w:pStyle w:val="Default"/>
              <w:jc w:val="center"/>
            </w:pPr>
            <w:r w:rsidRPr="009C4EAB">
              <w:rPr>
                <w:rFonts w:hint="eastAsia"/>
              </w:rPr>
              <w:t>方式</w:t>
            </w:r>
          </w:p>
        </w:tc>
        <w:tc>
          <w:tcPr>
            <w:tcW w:w="6600" w:type="dxa"/>
          </w:tcPr>
          <w:p w:rsidR="00F333CE" w:rsidRPr="009C4EAB" w:rsidRDefault="00017818" w:rsidP="00613329">
            <w:pPr>
              <w:spacing w:line="360" w:lineRule="auto"/>
              <w:jc w:val="left"/>
              <w:rPr>
                <w:sz w:val="24"/>
                <w:szCs w:val="24"/>
              </w:rPr>
            </w:pPr>
            <w:r>
              <w:rPr>
                <w:rFonts w:hint="eastAsia"/>
                <w:sz w:val="24"/>
                <w:szCs w:val="24"/>
              </w:rPr>
              <w:t>网络互动</w:t>
            </w:r>
          </w:p>
        </w:tc>
      </w:tr>
      <w:tr w:rsidR="003E565A" w:rsidRPr="009C4EAB" w:rsidTr="00017CAB">
        <w:tc>
          <w:tcPr>
            <w:tcW w:w="1696" w:type="dxa"/>
            <w:vAlign w:val="center"/>
          </w:tcPr>
          <w:p w:rsidR="003E565A" w:rsidRPr="009C4EAB" w:rsidRDefault="00EE510A" w:rsidP="00017CAB">
            <w:pPr>
              <w:pStyle w:val="Default"/>
              <w:jc w:val="center"/>
            </w:pPr>
            <w:r w:rsidRPr="009C4EAB">
              <w:rPr>
                <w:rFonts w:hint="eastAsia"/>
              </w:rPr>
              <w:t>公司接待人员名称</w:t>
            </w:r>
          </w:p>
        </w:tc>
        <w:tc>
          <w:tcPr>
            <w:tcW w:w="6600" w:type="dxa"/>
          </w:tcPr>
          <w:p w:rsidR="00017818" w:rsidRDefault="00017818" w:rsidP="00017818">
            <w:pPr>
              <w:pStyle w:val="Default"/>
              <w:spacing w:line="360" w:lineRule="auto"/>
            </w:pPr>
            <w:r>
              <w:rPr>
                <w:rFonts w:hint="eastAsia"/>
              </w:rPr>
              <w:t>董事长、总经理：谭耀龙</w:t>
            </w:r>
          </w:p>
          <w:p w:rsidR="00017818" w:rsidRDefault="00017818" w:rsidP="00017818">
            <w:pPr>
              <w:pStyle w:val="Default"/>
              <w:spacing w:line="360" w:lineRule="auto"/>
            </w:pPr>
            <w:r>
              <w:rPr>
                <w:rFonts w:hint="eastAsia"/>
              </w:rPr>
              <w:t>财务总监：纪丽丽</w:t>
            </w:r>
          </w:p>
          <w:p w:rsidR="00FD0FAD" w:rsidRDefault="00017818" w:rsidP="00017818">
            <w:pPr>
              <w:pStyle w:val="Default"/>
              <w:spacing w:line="360" w:lineRule="auto"/>
            </w:pPr>
            <w:r>
              <w:rPr>
                <w:rFonts w:hint="eastAsia"/>
              </w:rPr>
              <w:t>独立董事：娄爱华</w:t>
            </w:r>
          </w:p>
          <w:p w:rsidR="00017818" w:rsidRPr="00265597" w:rsidRDefault="00017818" w:rsidP="00017818">
            <w:pPr>
              <w:pStyle w:val="Default"/>
              <w:spacing w:line="360" w:lineRule="auto"/>
            </w:pPr>
            <w:r>
              <w:rPr>
                <w:rFonts w:hint="eastAsia"/>
              </w:rPr>
              <w:t>董事会秘书：占一宇</w:t>
            </w:r>
          </w:p>
        </w:tc>
      </w:tr>
      <w:tr w:rsidR="003E565A" w:rsidRPr="009C4EAB" w:rsidTr="00017CAB">
        <w:tc>
          <w:tcPr>
            <w:tcW w:w="1696" w:type="dxa"/>
            <w:vAlign w:val="center"/>
          </w:tcPr>
          <w:p w:rsidR="003E565A" w:rsidRPr="009C4EAB" w:rsidRDefault="003E565A" w:rsidP="00017CAB">
            <w:pPr>
              <w:pStyle w:val="Default"/>
              <w:jc w:val="center"/>
            </w:pPr>
            <w:r w:rsidRPr="009C4EAB">
              <w:rPr>
                <w:rFonts w:hint="eastAsia"/>
              </w:rPr>
              <w:t>投资者关系活动主要内容介绍</w:t>
            </w:r>
          </w:p>
        </w:tc>
        <w:tc>
          <w:tcPr>
            <w:tcW w:w="6600" w:type="dxa"/>
          </w:tcPr>
          <w:p w:rsidR="00E535AB" w:rsidRPr="00E535AB" w:rsidRDefault="00E535AB" w:rsidP="00F9712C">
            <w:pPr>
              <w:autoSpaceDE w:val="0"/>
              <w:adjustRightInd w:val="0"/>
              <w:snapToGrid w:val="0"/>
              <w:spacing w:line="360" w:lineRule="auto"/>
              <w:ind w:firstLineChars="200" w:firstLine="480"/>
              <w:outlineLvl w:val="0"/>
              <w:rPr>
                <w:rFonts w:ascii="宋体" w:eastAsia="宋体" w:hAnsi="宋体" w:cs="等线" w:hint="eastAsia"/>
                <w:bCs/>
                <w:sz w:val="24"/>
                <w:szCs w:val="24"/>
                <w:lang w:eastAsia="zh-Hans"/>
              </w:rPr>
            </w:pPr>
            <w:r w:rsidRPr="00E535AB">
              <w:rPr>
                <w:rFonts w:ascii="宋体" w:eastAsia="宋体" w:hAnsi="宋体" w:cs="等线" w:hint="eastAsia"/>
                <w:bCs/>
                <w:sz w:val="24"/>
                <w:szCs w:val="24"/>
                <w:lang w:eastAsia="zh-Hans"/>
              </w:rPr>
              <w:t>尊敬的投资者们，下午好，欢迎大家参加创耀科技2023年度暨2024年第一季度业绩说明会，下面就以上报告期经营情况做以下介绍：</w:t>
            </w:r>
          </w:p>
          <w:p w:rsidR="00E535AB" w:rsidRPr="00E535AB" w:rsidRDefault="00E535AB" w:rsidP="00E535AB">
            <w:pPr>
              <w:autoSpaceDE w:val="0"/>
              <w:adjustRightInd w:val="0"/>
              <w:snapToGrid w:val="0"/>
              <w:spacing w:line="360" w:lineRule="auto"/>
              <w:outlineLvl w:val="0"/>
              <w:rPr>
                <w:rFonts w:ascii="宋体" w:eastAsia="宋体" w:hAnsi="宋体" w:cs="等线"/>
                <w:bCs/>
                <w:sz w:val="24"/>
                <w:szCs w:val="24"/>
                <w:lang w:eastAsia="zh-Hans"/>
              </w:rPr>
            </w:pPr>
            <w:r w:rsidRPr="00E535AB">
              <w:rPr>
                <w:rFonts w:ascii="宋体" w:eastAsia="宋体" w:hAnsi="宋体" w:cs="等线" w:hint="eastAsia"/>
                <w:bCs/>
                <w:sz w:val="24"/>
                <w:szCs w:val="24"/>
                <w:lang w:eastAsia="zh-Hans"/>
              </w:rPr>
              <w:t xml:space="preserve">　　公司2023年度营业收入约为6.61亿元，比去年同期减少了29.05%，主要是受宏观经济波动，下游客户整体需求节奏变缓，公司接入网业务规模有所下降所致。公司电力线载波通信芯片与解决方案业务通过提升产品销量和市场份额，2023年度实现营收稳步增长。芯片版图设计服务及其他技术服务营收较上年增长20.18%。归属于上市公司股东的净利润为5843.92万元，比去年同期减少35.80%。研发费用方面，2023年公司研发投入合计17,835.55万元，占营业收入的比例为26.98%，</w:t>
            </w:r>
            <w:r w:rsidRPr="00E535AB">
              <w:rPr>
                <w:rFonts w:ascii="宋体" w:eastAsia="宋体" w:hAnsi="宋体" w:cs="等线" w:hint="eastAsia"/>
                <w:bCs/>
                <w:sz w:val="24"/>
                <w:szCs w:val="24"/>
                <w:lang w:eastAsia="zh-Hans"/>
              </w:rPr>
              <w:lastRenderedPageBreak/>
              <w:t>研发投入占比较去年同期稳中有升。</w:t>
            </w:r>
          </w:p>
          <w:p w:rsidR="00E535AB" w:rsidRDefault="00E535AB" w:rsidP="00E535AB">
            <w:pPr>
              <w:autoSpaceDE w:val="0"/>
              <w:adjustRightInd w:val="0"/>
              <w:snapToGrid w:val="0"/>
              <w:spacing w:line="360" w:lineRule="auto"/>
              <w:ind w:firstLine="480"/>
              <w:outlineLvl w:val="0"/>
              <w:rPr>
                <w:rFonts w:ascii="宋体" w:eastAsia="宋体" w:hAnsi="宋体" w:cs="等线"/>
                <w:bCs/>
                <w:sz w:val="24"/>
                <w:szCs w:val="24"/>
                <w:lang w:eastAsia="zh-Hans"/>
              </w:rPr>
            </w:pPr>
            <w:r w:rsidRPr="00E535AB">
              <w:rPr>
                <w:rFonts w:ascii="宋体" w:eastAsia="宋体" w:hAnsi="宋体" w:cs="等线" w:hint="eastAsia"/>
                <w:bCs/>
                <w:sz w:val="24"/>
                <w:szCs w:val="24"/>
                <w:lang w:eastAsia="zh-Hans"/>
              </w:rPr>
              <w:t>公司2024年第一季度营业收入为1.23亿元，比去年同期减少了13.55%；归属于上市公司股东的净利润为1514.28万元, 比去年同期增加0.36%。</w:t>
            </w:r>
          </w:p>
          <w:p w:rsidR="00E535AB" w:rsidRPr="00E535AB" w:rsidRDefault="00E535AB" w:rsidP="00E535AB">
            <w:pPr>
              <w:autoSpaceDE w:val="0"/>
              <w:adjustRightInd w:val="0"/>
              <w:snapToGrid w:val="0"/>
              <w:spacing w:line="360" w:lineRule="auto"/>
              <w:ind w:firstLine="480"/>
              <w:outlineLvl w:val="0"/>
              <w:rPr>
                <w:rFonts w:ascii="宋体" w:eastAsia="宋体" w:hAnsi="宋体" w:cs="等线" w:hint="eastAsia"/>
                <w:bCs/>
                <w:sz w:val="24"/>
                <w:szCs w:val="24"/>
                <w:lang w:eastAsia="zh-Hans"/>
              </w:rPr>
            </w:pPr>
          </w:p>
          <w:p w:rsidR="00017818" w:rsidRDefault="00DB053B"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sidR="00052A05">
              <w:rPr>
                <w:rFonts w:ascii="宋体" w:eastAsia="宋体" w:hAnsi="宋体" w:cs="等线"/>
                <w:b/>
                <w:bCs/>
                <w:sz w:val="24"/>
                <w:szCs w:val="24"/>
                <w:lang w:eastAsia="zh-Hans"/>
              </w:rPr>
              <w:t>1</w:t>
            </w:r>
            <w:r w:rsidRPr="00052A05">
              <w:rPr>
                <w:rFonts w:ascii="宋体" w:eastAsia="宋体" w:hAnsi="宋体" w:cs="等线" w:hint="eastAsia"/>
                <w:b/>
                <w:bCs/>
                <w:sz w:val="24"/>
                <w:szCs w:val="24"/>
                <w:lang w:eastAsia="zh-Hans"/>
              </w:rPr>
              <w:t>:</w:t>
            </w:r>
            <w:r w:rsidR="00052A05" w:rsidRPr="00052A05">
              <w:rPr>
                <w:rFonts w:hint="eastAsia"/>
                <w:b/>
              </w:rPr>
              <w:t xml:space="preserve"> </w:t>
            </w:r>
            <w:r w:rsidR="00E535AB" w:rsidRPr="00E535AB">
              <w:rPr>
                <w:rFonts w:ascii="宋体" w:eastAsia="宋体" w:hAnsi="宋体" w:hint="eastAsia"/>
                <w:b/>
                <w:sz w:val="24"/>
              </w:rPr>
              <w:t>2023年贵公司接入网芯片销售量大幅下降，目前是否有恢复，如没有恢复预计何时能恢复？</w:t>
            </w:r>
          </w:p>
          <w:p w:rsidR="00726405" w:rsidRPr="00726405" w:rsidRDefault="00DB053B" w:rsidP="00CD32A1">
            <w:pPr>
              <w:autoSpaceDE w:val="0"/>
              <w:adjustRightInd w:val="0"/>
              <w:snapToGrid w:val="0"/>
              <w:spacing w:line="360" w:lineRule="auto"/>
              <w:outlineLvl w:val="0"/>
              <w:rPr>
                <w:rFonts w:ascii="宋体" w:eastAsia="宋体" w:hAnsi="宋体"/>
                <w:sz w:val="24"/>
                <w:szCs w:val="24"/>
              </w:rPr>
            </w:pPr>
            <w:r w:rsidRPr="00052A05">
              <w:rPr>
                <w:rFonts w:ascii="宋体" w:eastAsia="宋体" w:hAnsi="宋体" w:cs="等线" w:hint="eastAsia"/>
                <w:b/>
                <w:bCs/>
                <w:sz w:val="24"/>
                <w:szCs w:val="24"/>
                <w:lang w:eastAsia="zh-Hans"/>
              </w:rPr>
              <w:t>A</w:t>
            </w:r>
            <w:r w:rsidR="00052A05">
              <w:rPr>
                <w:rFonts w:ascii="宋体" w:eastAsia="宋体" w:hAnsi="宋体" w:cs="等线"/>
                <w:b/>
                <w:bCs/>
                <w:sz w:val="24"/>
                <w:szCs w:val="24"/>
                <w:lang w:eastAsia="zh-Hans"/>
              </w:rPr>
              <w:t>1</w:t>
            </w:r>
            <w:r w:rsidRPr="00052A05">
              <w:rPr>
                <w:rFonts w:ascii="宋体" w:eastAsia="宋体" w:hAnsi="宋体" w:cs="等线" w:hint="eastAsia"/>
                <w:b/>
                <w:bCs/>
                <w:sz w:val="24"/>
                <w:szCs w:val="24"/>
                <w:lang w:eastAsia="zh-Hans"/>
              </w:rPr>
              <w:t>:</w:t>
            </w:r>
            <w:r w:rsidR="00726405">
              <w:rPr>
                <w:rFonts w:ascii="宋体" w:eastAsia="宋体" w:hAnsi="宋体"/>
                <w:sz w:val="24"/>
                <w:szCs w:val="24"/>
              </w:rPr>
              <w:t xml:space="preserve"> </w:t>
            </w:r>
            <w:r w:rsidR="00E535AB" w:rsidRPr="00E535AB">
              <w:rPr>
                <w:rFonts w:ascii="宋体" w:eastAsia="宋体" w:hAnsi="宋体" w:hint="eastAsia"/>
                <w:sz w:val="24"/>
                <w:szCs w:val="24"/>
              </w:rPr>
              <w:t>2023年，受终端市场整体需求下降的影响，公司接入网芯片销售额有所下降。整体恢复周期将受到终端市场恢复，以及公司大客户的库存周期等综合影响。预期目前暂时无法准确估计，请以公司的定期及临时公告为准。</w:t>
            </w:r>
          </w:p>
          <w:p w:rsidR="00E535AB" w:rsidRDefault="00E535AB" w:rsidP="00CD32A1">
            <w:pPr>
              <w:autoSpaceDE w:val="0"/>
              <w:adjustRightInd w:val="0"/>
              <w:snapToGrid w:val="0"/>
              <w:spacing w:line="360" w:lineRule="auto"/>
              <w:outlineLvl w:val="0"/>
              <w:rPr>
                <w:rFonts w:ascii="宋体" w:eastAsia="宋体" w:hAnsi="宋体" w:cs="等线"/>
                <w:b/>
                <w:bCs/>
                <w:sz w:val="24"/>
                <w:szCs w:val="24"/>
                <w:lang w:eastAsia="zh-Hans"/>
              </w:rPr>
            </w:pPr>
          </w:p>
          <w:p w:rsidR="00726405" w:rsidRDefault="00052A05" w:rsidP="00CD32A1">
            <w:pPr>
              <w:autoSpaceDE w:val="0"/>
              <w:adjustRightInd w:val="0"/>
              <w:snapToGrid w:val="0"/>
              <w:spacing w:line="360" w:lineRule="auto"/>
              <w:outlineLvl w:val="0"/>
              <w:rPr>
                <w:rFonts w:ascii="宋体" w:eastAsia="宋体" w:hAnsi="宋体" w:cs="等线"/>
                <w:b/>
                <w:bCs/>
                <w:sz w:val="24"/>
                <w:szCs w:val="24"/>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2</w:t>
            </w:r>
            <w:r w:rsidRPr="00052A05">
              <w:rPr>
                <w:rFonts w:ascii="宋体" w:eastAsia="宋体" w:hAnsi="宋体" w:cs="等线" w:hint="eastAsia"/>
                <w:b/>
                <w:bCs/>
                <w:sz w:val="24"/>
                <w:szCs w:val="24"/>
                <w:lang w:eastAsia="zh-Hans"/>
              </w:rPr>
              <w:t>:</w:t>
            </w:r>
            <w:r w:rsidRPr="001F74B1">
              <w:rPr>
                <w:rFonts w:ascii="宋体" w:eastAsia="宋体" w:hAnsi="宋体" w:cs="等线" w:hint="eastAsia"/>
                <w:b/>
                <w:bCs/>
                <w:sz w:val="24"/>
                <w:szCs w:val="24"/>
              </w:rPr>
              <w:t xml:space="preserve"> </w:t>
            </w:r>
            <w:r w:rsidR="00E535AB" w:rsidRPr="00E535AB">
              <w:rPr>
                <w:rFonts w:ascii="宋体" w:eastAsia="宋体" w:hAnsi="宋体" w:cs="等线" w:hint="eastAsia"/>
                <w:b/>
                <w:bCs/>
                <w:sz w:val="24"/>
                <w:szCs w:val="24"/>
              </w:rPr>
              <w:t>国家电网1季度智能电表招标数量大幅增加，请问对于的贵公司电力载波芯片订单是否得到相应的增长？</w:t>
            </w:r>
          </w:p>
          <w:p w:rsidR="007264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2</w:t>
            </w:r>
            <w:r w:rsidRPr="00274BE5">
              <w:rPr>
                <w:rFonts w:ascii="宋体" w:eastAsia="宋体" w:hAnsi="宋体" w:cs="等线" w:hint="eastAsia"/>
                <w:bCs/>
                <w:sz w:val="24"/>
                <w:szCs w:val="24"/>
                <w:lang w:eastAsia="zh-Hans"/>
              </w:rPr>
              <w:t xml:space="preserve">: </w:t>
            </w:r>
            <w:r w:rsidR="00E535AB" w:rsidRPr="00E535AB">
              <w:rPr>
                <w:rFonts w:ascii="宋体" w:eastAsia="宋体" w:hAnsi="宋体" w:cs="等线" w:hint="eastAsia"/>
                <w:bCs/>
                <w:sz w:val="24"/>
                <w:szCs w:val="24"/>
                <w:lang w:eastAsia="zh-Hans"/>
              </w:rPr>
              <w:t>国家电网2024年增加一个电表招标批次至3批，预计2024年全年电表招标数量及金额将显著增长。每一块智能电表里面含一个通信模块，对应一块通信芯片，对公司电力线载波通信芯片产品的销售肯定是有积极影响的。创耀科技的PLC产品线通过长期持续研发投入，在双模领域的核心技术具备深厚的技术积累，有望在国家电网2024年提升招标金额和数量的环境下，继续稳步提升销售额，保持行业优势地位。</w:t>
            </w:r>
          </w:p>
          <w:p w:rsidR="00E535AB" w:rsidRDefault="00E535AB" w:rsidP="00CD32A1">
            <w:pPr>
              <w:autoSpaceDE w:val="0"/>
              <w:adjustRightInd w:val="0"/>
              <w:snapToGrid w:val="0"/>
              <w:spacing w:line="360" w:lineRule="auto"/>
              <w:outlineLvl w:val="0"/>
              <w:rPr>
                <w:rFonts w:ascii="宋体" w:eastAsia="宋体" w:hAnsi="宋体" w:cs="等线"/>
                <w:b/>
                <w:bCs/>
                <w:sz w:val="24"/>
                <w:szCs w:val="24"/>
                <w:lang w:eastAsia="zh-Hans"/>
              </w:rPr>
            </w:pPr>
          </w:p>
          <w:p w:rsidR="00052A05" w:rsidRPr="00052A05"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3</w:t>
            </w:r>
            <w:r w:rsidRPr="00052A05">
              <w:rPr>
                <w:rFonts w:ascii="宋体" w:eastAsia="宋体" w:hAnsi="宋体" w:cs="等线" w:hint="eastAsia"/>
                <w:b/>
                <w:bCs/>
                <w:sz w:val="24"/>
                <w:szCs w:val="24"/>
                <w:lang w:eastAsia="zh-Hans"/>
              </w:rPr>
              <w:t>:</w:t>
            </w:r>
            <w:r w:rsidR="00726405" w:rsidRPr="00052A05">
              <w:rPr>
                <w:rFonts w:ascii="宋体" w:eastAsia="宋体" w:hAnsi="宋体" w:cs="等线"/>
                <w:b/>
                <w:bCs/>
                <w:sz w:val="24"/>
                <w:szCs w:val="24"/>
                <w:lang w:eastAsia="zh-Hans"/>
              </w:rPr>
              <w:t xml:space="preserve"> </w:t>
            </w:r>
            <w:r w:rsidR="00E535AB" w:rsidRPr="00E535AB">
              <w:rPr>
                <w:rFonts w:ascii="宋体" w:eastAsia="宋体" w:hAnsi="宋体" w:cs="等线" w:hint="eastAsia"/>
                <w:b/>
                <w:bCs/>
                <w:sz w:val="24"/>
                <w:szCs w:val="24"/>
                <w:lang w:eastAsia="zh-Hans"/>
              </w:rPr>
              <w:t>目前星闪生态推广情况如何了？客户市场对星闪技术的应用接纳程度怎么样？</w:t>
            </w:r>
          </w:p>
          <w:p w:rsidR="00E535AB" w:rsidRPr="00E535AB" w:rsidRDefault="00052A05" w:rsidP="00E535AB">
            <w:pPr>
              <w:autoSpaceDE w:val="0"/>
              <w:adjustRightInd w:val="0"/>
              <w:snapToGrid w:val="0"/>
              <w:spacing w:line="360" w:lineRule="auto"/>
              <w:outlineLvl w:val="0"/>
              <w:rPr>
                <w:rFonts w:ascii="宋体" w:eastAsia="宋体" w:hAnsi="宋体" w:cs="等线" w:hint="eastAsia"/>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3</w:t>
            </w:r>
            <w:r w:rsidRPr="00052A05">
              <w:rPr>
                <w:rFonts w:ascii="宋体" w:eastAsia="宋体" w:hAnsi="宋体" w:cs="等线" w:hint="eastAsia"/>
                <w:b/>
                <w:bCs/>
                <w:sz w:val="24"/>
                <w:szCs w:val="24"/>
                <w:lang w:eastAsia="zh-Hans"/>
              </w:rPr>
              <w:t>:</w:t>
            </w:r>
            <w:r w:rsidR="00017818">
              <w:rPr>
                <w:rFonts w:ascii="宋体" w:eastAsia="宋体" w:hAnsi="宋体" w:cs="等线"/>
                <w:bCs/>
                <w:sz w:val="24"/>
                <w:szCs w:val="24"/>
                <w:lang w:eastAsia="zh-Hans"/>
              </w:rPr>
              <w:t xml:space="preserve"> </w:t>
            </w:r>
            <w:r w:rsidR="00E535AB" w:rsidRPr="00E535AB">
              <w:rPr>
                <w:rFonts w:ascii="宋体" w:eastAsia="宋体" w:hAnsi="宋体" w:cs="等线" w:hint="eastAsia"/>
                <w:bCs/>
                <w:sz w:val="24"/>
                <w:szCs w:val="24"/>
                <w:lang w:eastAsia="zh-Hans"/>
              </w:rPr>
              <w:t>2024年一季度开始，头部企业带动的整体星闪终端产品的推广有所提速，公司相关的搭载公司星闪芯片及解决方案的无线鼠标、键盘及麦克风等产品也将有望在2024年下半年推向市场。</w:t>
            </w:r>
          </w:p>
          <w:p w:rsidR="00052A05" w:rsidRDefault="00E535AB" w:rsidP="00E535AB">
            <w:pPr>
              <w:autoSpaceDE w:val="0"/>
              <w:adjustRightInd w:val="0"/>
              <w:snapToGrid w:val="0"/>
              <w:spacing w:line="360" w:lineRule="auto"/>
              <w:ind w:firstLineChars="200" w:firstLine="480"/>
              <w:outlineLvl w:val="0"/>
              <w:rPr>
                <w:rFonts w:ascii="宋体" w:eastAsia="宋体" w:hAnsi="宋体" w:cs="等线"/>
                <w:bCs/>
                <w:sz w:val="24"/>
                <w:szCs w:val="24"/>
                <w:lang w:eastAsia="zh-Hans"/>
              </w:rPr>
            </w:pPr>
            <w:r w:rsidRPr="00E535AB">
              <w:rPr>
                <w:rFonts w:ascii="宋体" w:eastAsia="宋体" w:hAnsi="宋体" w:cs="等线" w:hint="eastAsia"/>
                <w:bCs/>
                <w:sz w:val="24"/>
                <w:szCs w:val="24"/>
                <w:lang w:eastAsia="zh-Hans"/>
              </w:rPr>
              <w:t>目前与公司接洽的意向客户厂商很多，众多终端厂商对新</w:t>
            </w:r>
            <w:r w:rsidRPr="00E535AB">
              <w:rPr>
                <w:rFonts w:ascii="宋体" w:eastAsia="宋体" w:hAnsi="宋体" w:cs="等线" w:hint="eastAsia"/>
                <w:bCs/>
                <w:sz w:val="24"/>
                <w:szCs w:val="24"/>
                <w:lang w:eastAsia="zh-Hans"/>
              </w:rPr>
              <w:lastRenderedPageBreak/>
              <w:t>短距无线协议的兴趣及期待很高。一方面，由于新一代短距无线技术带来的终端产品体验感的提升，会驱动部分聚焦高端市场的客户积极参与推广，同时，由于在生态的扩展过程中，实现和传统技术与设备的兼容也是重要一环，以免给客户及用户带来过高的生态迁移成本。星闪芯片和产品通过多模的方式兼容蓝牙和WiFi，从而实现平滑过渡，打消客户担心无法与其他短距技术兼容的顾虑。同时，星闪生态还将兼容更多软件生态，例如鸿蒙生态，通过这种软硬协同来提升产品的竞争力，真正能让用户有好的实际落地体验。目前星闪联盟会员已经超过1000家，另外头部厂商的带动作用，头部厂商的产品在市场取得较为良好的市场反馈后，也会吸引更多的用户关注星闪，从而推动终端厂商更加积极的采用星闪技术。</w:t>
            </w:r>
          </w:p>
          <w:p w:rsidR="00726405" w:rsidRDefault="00726405" w:rsidP="00CD32A1">
            <w:pPr>
              <w:autoSpaceDE w:val="0"/>
              <w:adjustRightInd w:val="0"/>
              <w:snapToGrid w:val="0"/>
              <w:spacing w:line="360" w:lineRule="auto"/>
              <w:outlineLvl w:val="0"/>
              <w:rPr>
                <w:rFonts w:ascii="宋体" w:eastAsia="宋体" w:hAnsi="宋体" w:cs="等线"/>
                <w:b/>
                <w:bCs/>
                <w:sz w:val="24"/>
                <w:szCs w:val="24"/>
                <w:lang w:eastAsia="zh-Hans"/>
              </w:rPr>
            </w:pPr>
          </w:p>
          <w:p w:rsidR="00726405" w:rsidRPr="00DC3BED"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DC3BED">
              <w:rPr>
                <w:rFonts w:ascii="宋体" w:eastAsia="宋体" w:hAnsi="宋体" w:cs="等线" w:hint="eastAsia"/>
                <w:b/>
                <w:bCs/>
                <w:sz w:val="24"/>
                <w:szCs w:val="24"/>
                <w:lang w:eastAsia="zh-Hans"/>
              </w:rPr>
              <w:t>Q</w:t>
            </w:r>
            <w:r w:rsidRPr="00DC3BED">
              <w:rPr>
                <w:rFonts w:ascii="宋体" w:eastAsia="宋体" w:hAnsi="宋体" w:cs="等线"/>
                <w:b/>
                <w:bCs/>
                <w:sz w:val="24"/>
                <w:szCs w:val="24"/>
                <w:lang w:eastAsia="zh-Hans"/>
              </w:rPr>
              <w:t>4</w:t>
            </w:r>
            <w:r w:rsidRPr="00DC3BED">
              <w:rPr>
                <w:rFonts w:ascii="宋体" w:eastAsia="宋体" w:hAnsi="宋体" w:cs="等线" w:hint="eastAsia"/>
                <w:b/>
                <w:bCs/>
                <w:sz w:val="24"/>
                <w:szCs w:val="24"/>
                <w:lang w:eastAsia="zh-Hans"/>
              </w:rPr>
              <w:t>:</w:t>
            </w:r>
            <w:r w:rsidRPr="00DC3BED">
              <w:rPr>
                <w:rFonts w:hint="eastAsia"/>
                <w:b/>
                <w:sz w:val="24"/>
                <w:szCs w:val="24"/>
              </w:rPr>
              <w:t xml:space="preserve"> </w:t>
            </w:r>
            <w:r w:rsidR="00E535AB" w:rsidRPr="00E535AB">
              <w:rPr>
                <w:rFonts w:hint="eastAsia"/>
                <w:b/>
                <w:sz w:val="24"/>
                <w:szCs w:val="24"/>
              </w:rPr>
              <w:t>公司股价持续低于发行价，除您自身增持以及股份回购计划外，还有别的方案提振股价吗？</w:t>
            </w:r>
          </w:p>
          <w:p w:rsidR="00052A05" w:rsidRPr="00E535AB" w:rsidRDefault="00052A05" w:rsidP="00CD32A1">
            <w:pPr>
              <w:autoSpaceDE w:val="0"/>
              <w:adjustRightInd w:val="0"/>
              <w:snapToGrid w:val="0"/>
              <w:spacing w:line="360" w:lineRule="auto"/>
              <w:outlineLvl w:val="0"/>
              <w:rPr>
                <w:rFonts w:ascii="宋体" w:eastAsia="宋体" w:hAnsi="宋体" w:cs="等线"/>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4</w:t>
            </w:r>
            <w:r w:rsidRPr="00052A05">
              <w:rPr>
                <w:rFonts w:ascii="宋体" w:eastAsia="宋体" w:hAnsi="宋体" w:cs="等线" w:hint="eastAsia"/>
                <w:b/>
                <w:bCs/>
                <w:sz w:val="24"/>
                <w:szCs w:val="24"/>
                <w:lang w:eastAsia="zh-Hans"/>
              </w:rPr>
              <w:t>:</w:t>
            </w:r>
            <w:r w:rsidR="00E535AB" w:rsidRPr="00E535AB">
              <w:rPr>
                <w:rFonts w:ascii="宋体" w:eastAsia="宋体" w:hAnsi="宋体" w:cs="等线" w:hint="eastAsia"/>
                <w:bCs/>
                <w:sz w:val="24"/>
                <w:szCs w:val="24"/>
                <w:lang w:eastAsia="zh-Hans"/>
              </w:rPr>
              <w:t>公司股价是多重因素的综合反映，公司本身主要通过专注主业实现公司高质量发展，持续高比例研发投入来巩固竞争优势，完善公司治理以提高运营质量与效率，实施科学、持续、稳定的分红政策等方式持续回馈投资者，感谢您的关注。</w:t>
            </w:r>
          </w:p>
          <w:p w:rsidR="00726405" w:rsidRDefault="00726405" w:rsidP="00CD32A1">
            <w:pPr>
              <w:autoSpaceDE w:val="0"/>
              <w:adjustRightInd w:val="0"/>
              <w:snapToGrid w:val="0"/>
              <w:spacing w:line="360" w:lineRule="auto"/>
              <w:outlineLvl w:val="0"/>
              <w:rPr>
                <w:rFonts w:ascii="宋体" w:eastAsia="宋体" w:hAnsi="宋体" w:cs="等线"/>
                <w:b/>
                <w:bCs/>
                <w:sz w:val="24"/>
                <w:szCs w:val="24"/>
                <w:lang w:eastAsia="zh-Hans"/>
              </w:rPr>
            </w:pPr>
          </w:p>
          <w:p w:rsidR="00726405" w:rsidRDefault="00052A05" w:rsidP="00726405">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5</w:t>
            </w:r>
            <w:r w:rsidRPr="00052A05">
              <w:rPr>
                <w:rFonts w:ascii="宋体" w:eastAsia="宋体" w:hAnsi="宋体" w:cs="等线" w:hint="eastAsia"/>
                <w:b/>
                <w:bCs/>
                <w:sz w:val="24"/>
                <w:szCs w:val="24"/>
                <w:lang w:eastAsia="zh-Hans"/>
              </w:rPr>
              <w:t>:</w:t>
            </w:r>
            <w:r w:rsidRPr="00052A05">
              <w:rPr>
                <w:rFonts w:hint="eastAsia"/>
                <w:b/>
              </w:rPr>
              <w:t xml:space="preserve"> </w:t>
            </w:r>
            <w:r w:rsidR="00E535AB" w:rsidRPr="00E535AB">
              <w:rPr>
                <w:rFonts w:ascii="宋体" w:eastAsia="宋体" w:hAnsi="宋体" w:cs="等线" w:hint="eastAsia"/>
                <w:b/>
                <w:bCs/>
                <w:sz w:val="24"/>
                <w:szCs w:val="24"/>
                <w:lang w:eastAsia="zh-Hans"/>
              </w:rPr>
              <w:t>请问贵公司星闪芯片目前的量产情况及订单，对2024年业绩贡献占比</w:t>
            </w:r>
          </w:p>
          <w:p w:rsidR="00726405" w:rsidRDefault="00052A05" w:rsidP="00017818">
            <w:pPr>
              <w:autoSpaceDE w:val="0"/>
              <w:adjustRightInd w:val="0"/>
              <w:snapToGrid w:val="0"/>
              <w:spacing w:line="360" w:lineRule="auto"/>
              <w:outlineLvl w:val="0"/>
              <w:rPr>
                <w:rFonts w:ascii="宋体" w:eastAsia="宋体" w:hAnsi="宋体" w:cs="等线"/>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5</w:t>
            </w:r>
            <w:r w:rsidRPr="00052A05">
              <w:rPr>
                <w:rFonts w:ascii="宋体" w:eastAsia="宋体" w:hAnsi="宋体" w:cs="等线" w:hint="eastAsia"/>
                <w:b/>
                <w:bCs/>
                <w:sz w:val="24"/>
                <w:szCs w:val="24"/>
                <w:lang w:eastAsia="zh-Hans"/>
              </w:rPr>
              <w:t>:</w:t>
            </w:r>
            <w:r w:rsidR="00775192" w:rsidRPr="00500E87">
              <w:rPr>
                <w:rFonts w:ascii="宋体" w:eastAsia="宋体" w:hAnsi="宋体" w:cs="等线" w:hint="eastAsia"/>
                <w:bCs/>
                <w:sz w:val="24"/>
                <w:szCs w:val="24"/>
                <w:lang w:eastAsia="zh-Hans"/>
              </w:rPr>
              <w:t xml:space="preserve"> </w:t>
            </w:r>
            <w:r w:rsidR="00E535AB" w:rsidRPr="00E535AB">
              <w:rPr>
                <w:rFonts w:ascii="宋体" w:eastAsia="宋体" w:hAnsi="宋体" w:cs="等线" w:hint="eastAsia"/>
                <w:bCs/>
                <w:sz w:val="24"/>
                <w:szCs w:val="24"/>
                <w:lang w:eastAsia="zh-Hans"/>
              </w:rPr>
              <w:t>2024年下半年，搭载公司星闪芯片及解决方案的无线鼠标、键盘等产品有望推向市场。第一批次终端产品推向市场后，市场接受度、终端客户的商业推广计划，都将影响最终公司相关产品的收入。公司全力配合星闪整体的市场策略，不断拓展新的客户类型和客户渠道，在星闪技术不断迭代过程中，不断完善产品方案，希望将星闪芯片及配套解决方案打造成公司新的收入增长引擎。</w:t>
            </w:r>
          </w:p>
          <w:p w:rsidR="00E535AB" w:rsidRDefault="00E535AB" w:rsidP="00E535AB">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lastRenderedPageBreak/>
              <w:t>Q</w:t>
            </w:r>
            <w:r>
              <w:rPr>
                <w:rFonts w:ascii="宋体" w:eastAsia="宋体" w:hAnsi="宋体" w:cs="等线"/>
                <w:b/>
                <w:bCs/>
                <w:sz w:val="24"/>
                <w:szCs w:val="24"/>
                <w:lang w:eastAsia="zh-Hans"/>
              </w:rPr>
              <w:t>6</w:t>
            </w:r>
            <w:r w:rsidRPr="00052A05">
              <w:rPr>
                <w:rFonts w:ascii="宋体" w:eastAsia="宋体" w:hAnsi="宋体" w:cs="等线" w:hint="eastAsia"/>
                <w:b/>
                <w:bCs/>
                <w:sz w:val="24"/>
                <w:szCs w:val="24"/>
                <w:lang w:eastAsia="zh-Hans"/>
              </w:rPr>
              <w:t>:</w:t>
            </w:r>
            <w:r>
              <w:rPr>
                <w:rFonts w:hint="eastAsia"/>
              </w:rPr>
              <w:t xml:space="preserve"> </w:t>
            </w:r>
            <w:r w:rsidRPr="00E535AB">
              <w:rPr>
                <w:rFonts w:ascii="宋体" w:eastAsia="宋体" w:hAnsi="宋体" w:cs="等线" w:hint="eastAsia"/>
                <w:b/>
                <w:bCs/>
                <w:sz w:val="24"/>
                <w:szCs w:val="24"/>
                <w:lang w:eastAsia="zh-Hans"/>
              </w:rPr>
              <w:t>今年国家电网智能电表的招标情况怎么样？市场是否有新的增长？公司这边参与招标和中标的单量情况如何？</w:t>
            </w:r>
          </w:p>
          <w:p w:rsidR="00E535AB" w:rsidRDefault="00E535AB" w:rsidP="00E535AB">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6</w:t>
            </w:r>
            <w:r w:rsidRPr="00052A05">
              <w:rPr>
                <w:rFonts w:ascii="宋体" w:eastAsia="宋体" w:hAnsi="宋体" w:cs="等线" w:hint="eastAsia"/>
                <w:b/>
                <w:bCs/>
                <w:sz w:val="24"/>
                <w:szCs w:val="24"/>
                <w:lang w:eastAsia="zh-Hans"/>
              </w:rPr>
              <w:t>:</w:t>
            </w:r>
            <w:r>
              <w:rPr>
                <w:rFonts w:hint="eastAsia"/>
              </w:rPr>
              <w:t xml:space="preserve"> </w:t>
            </w:r>
            <w:r w:rsidRPr="00E535AB">
              <w:rPr>
                <w:rFonts w:ascii="宋体" w:eastAsia="宋体" w:hAnsi="宋体" w:cs="等线" w:hint="eastAsia"/>
                <w:bCs/>
                <w:sz w:val="24"/>
                <w:szCs w:val="24"/>
                <w:lang w:eastAsia="zh-Hans"/>
              </w:rPr>
              <w:t>国家电网2024年增加一个电表招标批次至3批，预计2024年全年电表招标数量及金额将显著增长。每一块智能电表里面含一个通信模块，对应一块通信芯片，对公司电力线载波通信芯片产品的销售肯定是有积极影响的。创耀科技主要通过IP授权及量产服务支持国网芯片厂商参与国网招标。</w:t>
            </w:r>
          </w:p>
          <w:p w:rsidR="00E535AB" w:rsidRDefault="00E535AB" w:rsidP="00E535AB">
            <w:pPr>
              <w:autoSpaceDE w:val="0"/>
              <w:adjustRightInd w:val="0"/>
              <w:snapToGrid w:val="0"/>
              <w:spacing w:line="360" w:lineRule="auto"/>
              <w:outlineLvl w:val="0"/>
              <w:rPr>
                <w:rFonts w:ascii="宋体" w:eastAsia="宋体" w:hAnsi="宋体" w:cs="等线"/>
                <w:b/>
                <w:bCs/>
                <w:sz w:val="24"/>
                <w:szCs w:val="24"/>
                <w:lang w:eastAsia="zh-Hans"/>
              </w:rPr>
            </w:pPr>
          </w:p>
          <w:p w:rsidR="00E535AB" w:rsidRDefault="00E535AB" w:rsidP="00E535AB">
            <w:pPr>
              <w:autoSpaceDE w:val="0"/>
              <w:adjustRightInd w:val="0"/>
              <w:snapToGrid w:val="0"/>
              <w:spacing w:line="360" w:lineRule="auto"/>
              <w:outlineLvl w:val="0"/>
              <w:rPr>
                <w:rFonts w:ascii="宋体" w:eastAsia="宋体" w:hAnsi="宋体" w:cs="等线"/>
                <w:b/>
                <w:bCs/>
                <w:sz w:val="24"/>
                <w:szCs w:val="24"/>
                <w:lang w:eastAsia="zh-Hans"/>
              </w:rPr>
            </w:pPr>
            <w:r w:rsidRPr="00052A05">
              <w:rPr>
                <w:rFonts w:ascii="宋体" w:eastAsia="宋体" w:hAnsi="宋体" w:cs="等线" w:hint="eastAsia"/>
                <w:b/>
                <w:bCs/>
                <w:sz w:val="24"/>
                <w:szCs w:val="24"/>
                <w:lang w:eastAsia="zh-Hans"/>
              </w:rPr>
              <w:t>Q</w:t>
            </w:r>
            <w:r>
              <w:rPr>
                <w:rFonts w:ascii="宋体" w:eastAsia="宋体" w:hAnsi="宋体" w:cs="等线"/>
                <w:b/>
                <w:bCs/>
                <w:sz w:val="24"/>
                <w:szCs w:val="24"/>
                <w:lang w:eastAsia="zh-Hans"/>
              </w:rPr>
              <w:t>7</w:t>
            </w:r>
            <w:r w:rsidRPr="00052A05">
              <w:rPr>
                <w:rFonts w:ascii="宋体" w:eastAsia="宋体" w:hAnsi="宋体" w:cs="等线" w:hint="eastAsia"/>
                <w:b/>
                <w:bCs/>
                <w:sz w:val="24"/>
                <w:szCs w:val="24"/>
                <w:lang w:eastAsia="zh-Hans"/>
              </w:rPr>
              <w:t>:</w:t>
            </w:r>
            <w:r>
              <w:rPr>
                <w:rFonts w:hint="eastAsia"/>
              </w:rPr>
              <w:t xml:space="preserve"> </w:t>
            </w:r>
            <w:r w:rsidRPr="00E535AB">
              <w:rPr>
                <w:rFonts w:ascii="宋体" w:eastAsia="宋体" w:hAnsi="宋体" w:cs="等线" w:hint="eastAsia"/>
                <w:b/>
                <w:bCs/>
                <w:sz w:val="24"/>
                <w:szCs w:val="24"/>
                <w:lang w:eastAsia="zh-Hans"/>
              </w:rPr>
              <w:t>公司产品出海的情况怎么样？今年会不会成为一个新的增长点？</w:t>
            </w:r>
          </w:p>
          <w:p w:rsidR="00E535AB" w:rsidRPr="00E535AB" w:rsidRDefault="00E535AB" w:rsidP="00E535AB">
            <w:pPr>
              <w:autoSpaceDE w:val="0"/>
              <w:adjustRightInd w:val="0"/>
              <w:snapToGrid w:val="0"/>
              <w:spacing w:line="360" w:lineRule="auto"/>
              <w:outlineLvl w:val="0"/>
              <w:rPr>
                <w:rFonts w:ascii="宋体" w:eastAsia="宋体" w:hAnsi="宋体" w:cs="等线"/>
                <w:bCs/>
                <w:sz w:val="24"/>
                <w:szCs w:val="24"/>
                <w:lang w:eastAsia="zh-Hans"/>
              </w:rPr>
            </w:pPr>
            <w:r w:rsidRPr="00052A05">
              <w:rPr>
                <w:rFonts w:ascii="宋体" w:eastAsia="宋体" w:hAnsi="宋体" w:cs="等线" w:hint="eastAsia"/>
                <w:b/>
                <w:bCs/>
                <w:sz w:val="24"/>
                <w:szCs w:val="24"/>
                <w:lang w:eastAsia="zh-Hans"/>
              </w:rPr>
              <w:t>A</w:t>
            </w:r>
            <w:r>
              <w:rPr>
                <w:rFonts w:ascii="宋体" w:eastAsia="宋体" w:hAnsi="宋体" w:cs="等线"/>
                <w:b/>
                <w:bCs/>
                <w:sz w:val="24"/>
                <w:szCs w:val="24"/>
                <w:lang w:eastAsia="zh-Hans"/>
              </w:rPr>
              <w:t>7</w:t>
            </w:r>
            <w:r w:rsidRPr="00052A05">
              <w:rPr>
                <w:rFonts w:ascii="宋体" w:eastAsia="宋体" w:hAnsi="宋体" w:cs="等线" w:hint="eastAsia"/>
                <w:b/>
                <w:bCs/>
                <w:sz w:val="24"/>
                <w:szCs w:val="24"/>
                <w:lang w:eastAsia="zh-Hans"/>
              </w:rPr>
              <w:t>:</w:t>
            </w:r>
            <w:r>
              <w:rPr>
                <w:rFonts w:hint="eastAsia"/>
              </w:rPr>
              <w:t xml:space="preserve"> </w:t>
            </w:r>
            <w:r w:rsidRPr="00E535AB">
              <w:rPr>
                <w:rFonts w:ascii="宋体" w:eastAsia="宋体" w:hAnsi="宋体" w:cs="等线" w:hint="eastAsia"/>
                <w:bCs/>
                <w:sz w:val="24"/>
                <w:szCs w:val="24"/>
                <w:lang w:eastAsia="zh-Hans"/>
              </w:rPr>
              <w:t>中国的智能电表出口，确实是近年来崛起的新兴市场方向。中国智能电表主要出口非洲、东南亚、中东等地区，看三方数据统计，每年总出货规模四五千万只，并且目前还有在增长的趋势。公司还是以向客户提供产品技术支持为主，不直接向海外出口芯片及模块。公司电力通信载波这块已有客户是有智能电表出口业务的，不过目前穿透到创耀的营收层面，占比还不是很大，我们主要的营收利润来源还是国内。公司接入网业务也在通过国内的客户出口，希望通过增加海外销售来提升增长点。</w:t>
            </w:r>
          </w:p>
          <w:p w:rsidR="00E535AB" w:rsidRPr="000C3B50" w:rsidRDefault="00E535AB" w:rsidP="00E535AB">
            <w:pPr>
              <w:autoSpaceDE w:val="0"/>
              <w:adjustRightInd w:val="0"/>
              <w:snapToGrid w:val="0"/>
              <w:spacing w:line="360" w:lineRule="auto"/>
              <w:outlineLvl w:val="0"/>
              <w:rPr>
                <w:rFonts w:hint="eastAsia"/>
                <w:sz w:val="24"/>
                <w:szCs w:val="24"/>
              </w:rPr>
            </w:pPr>
          </w:p>
        </w:tc>
      </w:tr>
    </w:tbl>
    <w:p w:rsidR="00C2252A" w:rsidRDefault="00C2252A" w:rsidP="006F2FE3">
      <w:pPr>
        <w:jc w:val="right"/>
        <w:rPr>
          <w:sz w:val="24"/>
          <w:szCs w:val="24"/>
        </w:rPr>
      </w:pPr>
    </w:p>
    <w:p w:rsidR="00C2252A" w:rsidRDefault="00C2252A" w:rsidP="006F2FE3">
      <w:pPr>
        <w:jc w:val="right"/>
        <w:rPr>
          <w:sz w:val="24"/>
          <w:szCs w:val="24"/>
        </w:rPr>
      </w:pPr>
    </w:p>
    <w:p w:rsidR="003E565A" w:rsidRPr="00BF077D" w:rsidRDefault="006F2FE3" w:rsidP="006F2FE3">
      <w:pPr>
        <w:jc w:val="right"/>
        <w:rPr>
          <w:rFonts w:ascii="宋体" w:eastAsia="宋体" w:hAnsi="宋体"/>
          <w:sz w:val="24"/>
          <w:szCs w:val="24"/>
        </w:rPr>
      </w:pPr>
      <w:r w:rsidRPr="00BF077D">
        <w:rPr>
          <w:rFonts w:ascii="宋体" w:eastAsia="宋体" w:hAnsi="宋体"/>
          <w:sz w:val="24"/>
          <w:szCs w:val="24"/>
        </w:rPr>
        <w:t>日期：</w:t>
      </w:r>
      <w:r w:rsidRPr="00BF077D">
        <w:rPr>
          <w:rFonts w:ascii="宋体" w:eastAsia="宋体" w:hAnsi="宋体" w:hint="eastAsia"/>
          <w:sz w:val="24"/>
          <w:szCs w:val="24"/>
        </w:rPr>
        <w:t>202</w:t>
      </w:r>
      <w:r w:rsidR="00726405">
        <w:rPr>
          <w:rFonts w:ascii="宋体" w:eastAsia="宋体" w:hAnsi="宋体"/>
          <w:sz w:val="24"/>
          <w:szCs w:val="24"/>
        </w:rPr>
        <w:t>4</w:t>
      </w:r>
      <w:r w:rsidRPr="00BF077D">
        <w:rPr>
          <w:rFonts w:ascii="宋体" w:eastAsia="宋体" w:hAnsi="宋体" w:hint="eastAsia"/>
          <w:sz w:val="24"/>
          <w:szCs w:val="24"/>
        </w:rPr>
        <w:t>年</w:t>
      </w:r>
      <w:r w:rsidR="00017818">
        <w:rPr>
          <w:rFonts w:ascii="宋体" w:eastAsia="宋体" w:hAnsi="宋体"/>
          <w:sz w:val="24"/>
          <w:szCs w:val="24"/>
        </w:rPr>
        <w:t>5</w:t>
      </w:r>
      <w:r w:rsidRPr="00BF077D">
        <w:rPr>
          <w:rFonts w:ascii="宋体" w:eastAsia="宋体" w:hAnsi="宋体" w:hint="eastAsia"/>
          <w:sz w:val="24"/>
          <w:szCs w:val="24"/>
        </w:rPr>
        <w:t>月</w:t>
      </w:r>
      <w:r w:rsidR="00017818">
        <w:rPr>
          <w:rFonts w:ascii="宋体" w:eastAsia="宋体" w:hAnsi="宋体"/>
          <w:sz w:val="24"/>
          <w:szCs w:val="24"/>
        </w:rPr>
        <w:t>16</w:t>
      </w:r>
      <w:r w:rsidRPr="00BF077D">
        <w:rPr>
          <w:rFonts w:ascii="宋体" w:eastAsia="宋体" w:hAnsi="宋体" w:hint="eastAsia"/>
          <w:sz w:val="24"/>
          <w:szCs w:val="24"/>
        </w:rPr>
        <w:t>日</w:t>
      </w:r>
    </w:p>
    <w:sectPr w:rsidR="003E565A" w:rsidRPr="00BF0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1F2" w:rsidRDefault="008071F2" w:rsidP="00371A70">
      <w:r>
        <w:separator/>
      </w:r>
    </w:p>
  </w:endnote>
  <w:endnote w:type="continuationSeparator" w:id="0">
    <w:p w:rsidR="008071F2" w:rsidRDefault="008071F2"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1F2" w:rsidRDefault="008071F2" w:rsidP="00371A70">
      <w:r>
        <w:separator/>
      </w:r>
    </w:p>
  </w:footnote>
  <w:footnote w:type="continuationSeparator" w:id="0">
    <w:p w:rsidR="008071F2" w:rsidRDefault="008071F2"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4008"/>
    <w:rsid w:val="0001084A"/>
    <w:rsid w:val="00017818"/>
    <w:rsid w:val="00017CAB"/>
    <w:rsid w:val="000232E7"/>
    <w:rsid w:val="00027D26"/>
    <w:rsid w:val="0004673D"/>
    <w:rsid w:val="00051340"/>
    <w:rsid w:val="00051A6C"/>
    <w:rsid w:val="00052A05"/>
    <w:rsid w:val="00056ED4"/>
    <w:rsid w:val="000654FB"/>
    <w:rsid w:val="00092BC4"/>
    <w:rsid w:val="00096DDB"/>
    <w:rsid w:val="000A070F"/>
    <w:rsid w:val="000A3FEB"/>
    <w:rsid w:val="000B43B4"/>
    <w:rsid w:val="000C3B50"/>
    <w:rsid w:val="000C5592"/>
    <w:rsid w:val="000C72F7"/>
    <w:rsid w:val="000D77ED"/>
    <w:rsid w:val="00121A68"/>
    <w:rsid w:val="001240EB"/>
    <w:rsid w:val="0012661C"/>
    <w:rsid w:val="00140E11"/>
    <w:rsid w:val="00151FD3"/>
    <w:rsid w:val="0017056F"/>
    <w:rsid w:val="00171626"/>
    <w:rsid w:val="00171E96"/>
    <w:rsid w:val="00182010"/>
    <w:rsid w:val="001974C7"/>
    <w:rsid w:val="001A305A"/>
    <w:rsid w:val="001C15CE"/>
    <w:rsid w:val="001C1A37"/>
    <w:rsid w:val="001C2CE8"/>
    <w:rsid w:val="001E2E58"/>
    <w:rsid w:val="001E7E3A"/>
    <w:rsid w:val="001F74B1"/>
    <w:rsid w:val="00202231"/>
    <w:rsid w:val="0021005D"/>
    <w:rsid w:val="0021386E"/>
    <w:rsid w:val="00216019"/>
    <w:rsid w:val="00226D6B"/>
    <w:rsid w:val="0025118E"/>
    <w:rsid w:val="00261443"/>
    <w:rsid w:val="00265597"/>
    <w:rsid w:val="00274BE5"/>
    <w:rsid w:val="0028124A"/>
    <w:rsid w:val="0029073B"/>
    <w:rsid w:val="002B7504"/>
    <w:rsid w:val="002B78E5"/>
    <w:rsid w:val="002D537F"/>
    <w:rsid w:val="002D76D6"/>
    <w:rsid w:val="002E0A51"/>
    <w:rsid w:val="002E2478"/>
    <w:rsid w:val="002E5304"/>
    <w:rsid w:val="003151BF"/>
    <w:rsid w:val="003160C0"/>
    <w:rsid w:val="00321037"/>
    <w:rsid w:val="003246D8"/>
    <w:rsid w:val="00334533"/>
    <w:rsid w:val="00346E2C"/>
    <w:rsid w:val="003516F3"/>
    <w:rsid w:val="00362261"/>
    <w:rsid w:val="00371A70"/>
    <w:rsid w:val="00376115"/>
    <w:rsid w:val="0038711B"/>
    <w:rsid w:val="003923A4"/>
    <w:rsid w:val="00396C5D"/>
    <w:rsid w:val="003A4683"/>
    <w:rsid w:val="003B75AA"/>
    <w:rsid w:val="003C14D9"/>
    <w:rsid w:val="003D329A"/>
    <w:rsid w:val="003D7F73"/>
    <w:rsid w:val="003E565A"/>
    <w:rsid w:val="003E7DC0"/>
    <w:rsid w:val="003F32B6"/>
    <w:rsid w:val="0040324F"/>
    <w:rsid w:val="00406AFD"/>
    <w:rsid w:val="004159C2"/>
    <w:rsid w:val="0042716B"/>
    <w:rsid w:val="00434946"/>
    <w:rsid w:val="00475A1B"/>
    <w:rsid w:val="00496C58"/>
    <w:rsid w:val="00497EFB"/>
    <w:rsid w:val="004B27E4"/>
    <w:rsid w:val="004B5BD3"/>
    <w:rsid w:val="004C4EF0"/>
    <w:rsid w:val="004D0D49"/>
    <w:rsid w:val="004E2400"/>
    <w:rsid w:val="004E476F"/>
    <w:rsid w:val="004E7BD6"/>
    <w:rsid w:val="004F1D59"/>
    <w:rsid w:val="004F6FE6"/>
    <w:rsid w:val="00500E87"/>
    <w:rsid w:val="00543529"/>
    <w:rsid w:val="005544BF"/>
    <w:rsid w:val="00557CCE"/>
    <w:rsid w:val="005641FE"/>
    <w:rsid w:val="0057048A"/>
    <w:rsid w:val="005A678C"/>
    <w:rsid w:val="005E30F9"/>
    <w:rsid w:val="005E633C"/>
    <w:rsid w:val="00610981"/>
    <w:rsid w:val="00612291"/>
    <w:rsid w:val="00613329"/>
    <w:rsid w:val="0063252C"/>
    <w:rsid w:val="00632E58"/>
    <w:rsid w:val="006473DE"/>
    <w:rsid w:val="006555F7"/>
    <w:rsid w:val="00673132"/>
    <w:rsid w:val="006744A1"/>
    <w:rsid w:val="006767AC"/>
    <w:rsid w:val="00677378"/>
    <w:rsid w:val="006808F8"/>
    <w:rsid w:val="00681118"/>
    <w:rsid w:val="00694E11"/>
    <w:rsid w:val="006A340C"/>
    <w:rsid w:val="006B0D3B"/>
    <w:rsid w:val="006B18F3"/>
    <w:rsid w:val="006B670D"/>
    <w:rsid w:val="006C37E8"/>
    <w:rsid w:val="006E49E6"/>
    <w:rsid w:val="006E63C9"/>
    <w:rsid w:val="006E7DEC"/>
    <w:rsid w:val="006F2FE3"/>
    <w:rsid w:val="00710263"/>
    <w:rsid w:val="007123CE"/>
    <w:rsid w:val="007134AC"/>
    <w:rsid w:val="00716299"/>
    <w:rsid w:val="00726405"/>
    <w:rsid w:val="00756AF3"/>
    <w:rsid w:val="00761388"/>
    <w:rsid w:val="00766351"/>
    <w:rsid w:val="00775192"/>
    <w:rsid w:val="007833A3"/>
    <w:rsid w:val="0078671C"/>
    <w:rsid w:val="007A299B"/>
    <w:rsid w:val="007B1C2B"/>
    <w:rsid w:val="007B2593"/>
    <w:rsid w:val="007D42E3"/>
    <w:rsid w:val="007E0FA9"/>
    <w:rsid w:val="007E7AE9"/>
    <w:rsid w:val="007F500C"/>
    <w:rsid w:val="007F7261"/>
    <w:rsid w:val="008071F2"/>
    <w:rsid w:val="008142E0"/>
    <w:rsid w:val="0081613F"/>
    <w:rsid w:val="0081657C"/>
    <w:rsid w:val="00821935"/>
    <w:rsid w:val="008556B6"/>
    <w:rsid w:val="00881636"/>
    <w:rsid w:val="00882360"/>
    <w:rsid w:val="00883D92"/>
    <w:rsid w:val="008A40A5"/>
    <w:rsid w:val="008B23A0"/>
    <w:rsid w:val="008E0FE3"/>
    <w:rsid w:val="008E3191"/>
    <w:rsid w:val="00915329"/>
    <w:rsid w:val="00927231"/>
    <w:rsid w:val="00933A0D"/>
    <w:rsid w:val="00937E53"/>
    <w:rsid w:val="009404A2"/>
    <w:rsid w:val="00956AC0"/>
    <w:rsid w:val="009700C6"/>
    <w:rsid w:val="00975665"/>
    <w:rsid w:val="00981929"/>
    <w:rsid w:val="009A48E1"/>
    <w:rsid w:val="009C4EAB"/>
    <w:rsid w:val="009D467C"/>
    <w:rsid w:val="009E241B"/>
    <w:rsid w:val="009F683D"/>
    <w:rsid w:val="00A05E37"/>
    <w:rsid w:val="00A12BD7"/>
    <w:rsid w:val="00A303BA"/>
    <w:rsid w:val="00A32BDC"/>
    <w:rsid w:val="00A51C63"/>
    <w:rsid w:val="00A54759"/>
    <w:rsid w:val="00A54F82"/>
    <w:rsid w:val="00A663E5"/>
    <w:rsid w:val="00A7775D"/>
    <w:rsid w:val="00A83D6E"/>
    <w:rsid w:val="00A914EC"/>
    <w:rsid w:val="00A91A0F"/>
    <w:rsid w:val="00AA6992"/>
    <w:rsid w:val="00AB3BE5"/>
    <w:rsid w:val="00AB7504"/>
    <w:rsid w:val="00AC4862"/>
    <w:rsid w:val="00AE46F4"/>
    <w:rsid w:val="00AF6441"/>
    <w:rsid w:val="00AF6592"/>
    <w:rsid w:val="00B00133"/>
    <w:rsid w:val="00B07783"/>
    <w:rsid w:val="00B12603"/>
    <w:rsid w:val="00B1329E"/>
    <w:rsid w:val="00B14AB8"/>
    <w:rsid w:val="00B34419"/>
    <w:rsid w:val="00B44ECC"/>
    <w:rsid w:val="00B47C31"/>
    <w:rsid w:val="00B54CC5"/>
    <w:rsid w:val="00B63ED2"/>
    <w:rsid w:val="00B64F10"/>
    <w:rsid w:val="00B861D9"/>
    <w:rsid w:val="00B877B7"/>
    <w:rsid w:val="00B911B6"/>
    <w:rsid w:val="00B923B1"/>
    <w:rsid w:val="00BA2558"/>
    <w:rsid w:val="00BA48A5"/>
    <w:rsid w:val="00BA4D47"/>
    <w:rsid w:val="00BA5C40"/>
    <w:rsid w:val="00BA7104"/>
    <w:rsid w:val="00BE0390"/>
    <w:rsid w:val="00BF077D"/>
    <w:rsid w:val="00BF3BE8"/>
    <w:rsid w:val="00C06E0B"/>
    <w:rsid w:val="00C11FCD"/>
    <w:rsid w:val="00C12CE1"/>
    <w:rsid w:val="00C208A6"/>
    <w:rsid w:val="00C21B66"/>
    <w:rsid w:val="00C2252A"/>
    <w:rsid w:val="00C22ED2"/>
    <w:rsid w:val="00C32394"/>
    <w:rsid w:val="00C555C4"/>
    <w:rsid w:val="00C727D4"/>
    <w:rsid w:val="00C73E1B"/>
    <w:rsid w:val="00C775D7"/>
    <w:rsid w:val="00C85856"/>
    <w:rsid w:val="00C9550D"/>
    <w:rsid w:val="00CA7866"/>
    <w:rsid w:val="00CB7501"/>
    <w:rsid w:val="00CD2FBD"/>
    <w:rsid w:val="00CD32A1"/>
    <w:rsid w:val="00CD6F73"/>
    <w:rsid w:val="00CF56D6"/>
    <w:rsid w:val="00D233A2"/>
    <w:rsid w:val="00D41A48"/>
    <w:rsid w:val="00D5311C"/>
    <w:rsid w:val="00D542A6"/>
    <w:rsid w:val="00D64EF2"/>
    <w:rsid w:val="00D65471"/>
    <w:rsid w:val="00D75E26"/>
    <w:rsid w:val="00D76714"/>
    <w:rsid w:val="00D7702A"/>
    <w:rsid w:val="00D93517"/>
    <w:rsid w:val="00DA05B7"/>
    <w:rsid w:val="00DA1361"/>
    <w:rsid w:val="00DB053B"/>
    <w:rsid w:val="00DB3AEE"/>
    <w:rsid w:val="00DB61FC"/>
    <w:rsid w:val="00DC1656"/>
    <w:rsid w:val="00DC19FD"/>
    <w:rsid w:val="00DC2980"/>
    <w:rsid w:val="00DC36DA"/>
    <w:rsid w:val="00DC3BED"/>
    <w:rsid w:val="00DC5B00"/>
    <w:rsid w:val="00DD36E4"/>
    <w:rsid w:val="00DE217E"/>
    <w:rsid w:val="00DE25EB"/>
    <w:rsid w:val="00DF2872"/>
    <w:rsid w:val="00DF67B8"/>
    <w:rsid w:val="00E02EBF"/>
    <w:rsid w:val="00E04AFB"/>
    <w:rsid w:val="00E126CD"/>
    <w:rsid w:val="00E21282"/>
    <w:rsid w:val="00E26BAA"/>
    <w:rsid w:val="00E40C94"/>
    <w:rsid w:val="00E40FCD"/>
    <w:rsid w:val="00E41DEB"/>
    <w:rsid w:val="00E41FED"/>
    <w:rsid w:val="00E535AB"/>
    <w:rsid w:val="00E55BC6"/>
    <w:rsid w:val="00E56E92"/>
    <w:rsid w:val="00E63DAC"/>
    <w:rsid w:val="00E668AC"/>
    <w:rsid w:val="00E72D2C"/>
    <w:rsid w:val="00E77E3C"/>
    <w:rsid w:val="00E92D17"/>
    <w:rsid w:val="00EA19A7"/>
    <w:rsid w:val="00EA5EE6"/>
    <w:rsid w:val="00EB3123"/>
    <w:rsid w:val="00EC2F41"/>
    <w:rsid w:val="00EC3A37"/>
    <w:rsid w:val="00EC5BC5"/>
    <w:rsid w:val="00ED3642"/>
    <w:rsid w:val="00ED4AD2"/>
    <w:rsid w:val="00ED7E80"/>
    <w:rsid w:val="00ED7EA9"/>
    <w:rsid w:val="00EE510A"/>
    <w:rsid w:val="00F018F5"/>
    <w:rsid w:val="00F033DB"/>
    <w:rsid w:val="00F0572E"/>
    <w:rsid w:val="00F2012E"/>
    <w:rsid w:val="00F31088"/>
    <w:rsid w:val="00F333CE"/>
    <w:rsid w:val="00F47757"/>
    <w:rsid w:val="00F55DEE"/>
    <w:rsid w:val="00F61B18"/>
    <w:rsid w:val="00F758D9"/>
    <w:rsid w:val="00F77E63"/>
    <w:rsid w:val="00F81C3D"/>
    <w:rsid w:val="00F94437"/>
    <w:rsid w:val="00F9712C"/>
    <w:rsid w:val="00FA0463"/>
    <w:rsid w:val="00FA2BB8"/>
    <w:rsid w:val="00FC134F"/>
    <w:rsid w:val="00FD0592"/>
    <w:rsid w:val="00FD0FAD"/>
    <w:rsid w:val="00FD4BC4"/>
    <w:rsid w:val="00FE0F63"/>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2877A"/>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375</Words>
  <Characters>2138</Characters>
  <Application>Microsoft Office Word</Application>
  <DocSecurity>0</DocSecurity>
  <Lines>17</Lines>
  <Paragraphs>5</Paragraphs>
  <ScaleCrop>false</ScaleCrop>
  <Company>Microsoft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zhanyiyu</dc:creator>
  <cp:lastModifiedBy>mengtingting</cp:lastModifiedBy>
  <cp:revision>2</cp:revision>
  <cp:lastPrinted>2022-02-10T10:11:00Z</cp:lastPrinted>
  <dcterms:created xsi:type="dcterms:W3CDTF">2024-05-16T07:46:00Z</dcterms:created>
  <dcterms:modified xsi:type="dcterms:W3CDTF">2024-05-16T07:46:00Z</dcterms:modified>
</cp:coreProperties>
</file>